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4F02"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 xml:space="preserve">VI, MINISTRAR OCH FÖRETRÄDARE FÖR </w:t>
      </w:r>
      <w:r>
        <w:rPr>
          <w:rFonts w:ascii="Open Sans" w:hAnsi="Open Sans"/>
          <w:color w:val="000000"/>
          <w:sz w:val="21"/>
        </w:rPr>
        <w:t>Argentina, Australien, Österrike, Belgien, Brasilien, Kanada, Chile, Costa Rica, Tjeckien, Danmark, Estland, Finland, Frankrike, Tyskland, Grekland, Ungern, Island, Indonesien, Irland, Israel, Italien, Japan, Sydkorea, Lettland, Litauen, Luxemburg, Mexiko, Nederländerna, Nya Zeeland, Norge, Peru, Polen, Portugal, Slovakien, Slovenien, Sverige, Schweiz, Turkiet, Storbritannien och Förenta staterna,</w:t>
      </w:r>
    </w:p>
    <w:p w14:paraId="6C1AE09C"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SOM ERKÄNNER ATT</w:t>
      </w:r>
    </w:p>
    <w:p w14:paraId="5E27AC31"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 xml:space="preserve">1. regeringar spelar en viktig roll när det gäller att fastställa och genomföra den rättsliga och politiska ramen för hållbara ekonomier och samhällen och när det gäller att skapa förutsättningar att på ett ändamålsenligt sätt kunna tillhandahålla grundläggande offentliga tjänster för alla, </w:t>
      </w:r>
    </w:p>
    <w:p w14:paraId="3305C6D1"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2. regeringar som en del i sitt arbete för det allmänna bästa har en rad olika mål, till exempel målen för hållbar utveckling eller samhällsprioriteringar, som implicit eller explicit kräver nya tillvägagångssätt,</w:t>
      </w:r>
    </w:p>
    <w:p w14:paraId="7FA912CB"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3. regeringar och deras offentliga organisationer verkar i instabila, osäkra, komplexa och tvetydiga sammanhang och måste brottas med en rad olika utmaningar, till exempel digital omvandling, energifattigdom, miljöförsämring, klimatförstöring och ojämlikhet,</w:t>
      </w:r>
    </w:p>
    <w:p w14:paraId="1442F1E8"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4. det i detta sammanhang inte kan antas att befintliga strukturer, processer och åtgärder fortfarande är de mest lämpade eller ändamålsenliga för att den offentliga sektorn ska nå sina mål och tillgodose regeringens och medborgarnas behov och förväntningar,</w:t>
      </w:r>
    </w:p>
    <w:p w14:paraId="67470401"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5. innovation, det vill säga införandet av något nytt i ett sammanhang för att uppnå en effekt, är en proaktiv strategi som regeringar kan tillämpa för att hantera, anpassa sig till och förbereda sig på detta sammanhang,</w:t>
      </w:r>
    </w:p>
    <w:p w14:paraId="2A719971"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 xml:space="preserve">6. den innovationsnivå som sker av sig själv troligen inte är tillräcklig eller kan upprätthållas utan att åtgärder vidtas för att komma till rätta med den offentliga sektorns systemiska benägenhet att vidmakthålla och reproducera status </w:t>
      </w:r>
      <w:proofErr w:type="spellStart"/>
      <w:r>
        <w:rPr>
          <w:rFonts w:ascii="Open Sans" w:hAnsi="Open Sans"/>
          <w:sz w:val="21"/>
        </w:rPr>
        <w:t>quo</w:t>
      </w:r>
      <w:proofErr w:type="spellEnd"/>
      <w:r>
        <w:rPr>
          <w:rFonts w:ascii="Open Sans" w:hAnsi="Open Sans"/>
          <w:sz w:val="21"/>
        </w:rPr>
        <w:t>;</w:t>
      </w:r>
      <w:r>
        <w:rPr>
          <w:rFonts w:ascii="Open Sans" w:hAnsi="Open Sans"/>
          <w:color w:val="000000"/>
          <w:sz w:val="21"/>
        </w:rPr>
        <w:t xml:space="preserve"> det senare är en sidoeffekt av regeringens och dess </w:t>
      </w:r>
      <w:proofErr w:type="gramStart"/>
      <w:r>
        <w:rPr>
          <w:rFonts w:ascii="Open Sans" w:hAnsi="Open Sans"/>
          <w:color w:val="000000"/>
          <w:sz w:val="21"/>
        </w:rPr>
        <w:t>verksamhets behov</w:t>
      </w:r>
      <w:proofErr w:type="gramEnd"/>
      <w:r>
        <w:rPr>
          <w:rFonts w:ascii="Open Sans" w:hAnsi="Open Sans"/>
          <w:color w:val="000000"/>
          <w:sz w:val="21"/>
        </w:rPr>
        <w:t xml:space="preserve"> av att vara stabila och pålitliga,</w:t>
      </w:r>
    </w:p>
    <w:p w14:paraId="63186049"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7. offentliga organisationer därför, konsekvent och tillförlitligt, behöver kunna arbeta innovativt, så att de vid behov på ett innovativt sätt kan hantera (nuvarande eller framtida) utmaningar som kräver nya tillvägagångssätt,</w:t>
      </w:r>
    </w:p>
    <w:p w14:paraId="3932C15D"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8. offentliga organisationer, för att tillförlitligt och konsekvent kunna arbeta innovativt, behöver inta en noga övervägd strategi för innovationshantering som bygger vidare på tidigare insatser;</w:t>
      </w:r>
      <w:r>
        <w:rPr>
          <w:rFonts w:ascii="Open Sans" w:hAnsi="Open Sans"/>
          <w:color w:val="000000"/>
          <w:sz w:val="21"/>
        </w:rPr>
        <w:t xml:space="preserve"> ett exempel på en sådan strategi är portföljhantering där man investerar i, främjar och mobiliserar en lämplig mångfald av innovativa insatser för att motverka risken för att vissa innovativa åtgärder inte fungerar eller är olämpliga,</w:t>
      </w:r>
    </w:p>
    <w:p w14:paraId="6B30D563"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t>9. man med en noga övervägd portföljstrategi för innovationshanteringen beaktar och förstår att innovation är en mångfasetterad företeelse och att varje fasett tillgodoser olika medel och mål;</w:t>
      </w:r>
      <w:r>
        <w:rPr>
          <w:rFonts w:ascii="Open Sans" w:hAnsi="Open Sans"/>
          <w:color w:val="000000"/>
          <w:sz w:val="21"/>
        </w:rPr>
        <w:t xml:space="preserve"> portföljen omfattar</w:t>
      </w:r>
    </w:p>
    <w:p w14:paraId="4B77378B"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a.         förbättringsinriktad innovation, som handlar om att uppgradera rådande praxis, åstadkomma effektivitetsvinster och bättre resultat, samt bygga vidare på befintliga strukturer,</w:t>
      </w:r>
    </w:p>
    <w:p w14:paraId="379A9DA6"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b.         uppdragsinriktad innovation, som handlar om att uppnå tydliga mål och prioriteringar genom att utveckla nya metoder och tillvägagångssätt efter behov,</w:t>
      </w:r>
    </w:p>
    <w:p w14:paraId="419EAE17"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c.          adaptiv innovation, som handlar om att anpassa sig efter omvärldsförändringar och uppmuntra nyfikenhet att tolka och hantera samhälls- och teknikförändringar,</w:t>
      </w:r>
    </w:p>
    <w:p w14:paraId="7F897873"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d.         föregripande innovation, som handlar om att utforska och hantera den osäkerhet som råder kring framväxande frågor som kommer att forma framtida prioriteringar och åtaganden,</w:t>
      </w:r>
    </w:p>
    <w:p w14:paraId="57DEDAA6"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sz w:val="21"/>
        </w:rPr>
        <w:lastRenderedPageBreak/>
        <w:t>10. offentliga organisationer genom att enbart förlita sig på det som sker inom en fasett inte är tillräckligt förberedda på att hantera de olika utmaningar som uppstår;</w:t>
      </w:r>
      <w:r>
        <w:rPr>
          <w:rFonts w:ascii="Open Sans" w:hAnsi="Open Sans"/>
          <w:color w:val="000000"/>
          <w:sz w:val="21"/>
        </w:rPr>
        <w:t xml:space="preserve"> en portföljstrategi omfattar en lång rad olika åtgärder,</w:t>
      </w:r>
    </w:p>
    <w:p w14:paraId="1B76EA59"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SOM ERKÄNNER</w:t>
      </w:r>
      <w:r>
        <w:rPr>
          <w:rFonts w:ascii="Open Sans" w:hAnsi="Open Sans"/>
          <w:color w:val="000000"/>
          <w:sz w:val="21"/>
        </w:rPr>
        <w:t xml:space="preserve"> att OECD har utarbetat en stark evidensbas om strategier och tillvägagångssätt inom innovation, öppen förvaltning, myndighetsföreskrifter, offentlig integritet, jämställdhet och digital förvaltning, vilket har resulterat i internationella standarder,</w:t>
      </w:r>
    </w:p>
    <w:p w14:paraId="3C091C38"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sz w:val="21"/>
        </w:rPr>
        <w:t>I. DEKLARERAR</w:t>
      </w:r>
      <w:r>
        <w:rPr>
          <w:rFonts w:ascii="Open Sans" w:hAnsi="Open Sans"/>
          <w:sz w:val="21"/>
        </w:rPr>
        <w:t xml:space="preserve"> att vi bekräftar vår fasta beslutsamhet att göra följande: </w:t>
      </w:r>
    </w:p>
    <w:p w14:paraId="448C598C"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A. Främja och stärka innovation inom offentlig sektor</w:t>
      </w:r>
    </w:p>
    <w:p w14:paraId="57543B75"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color w:val="000000"/>
          <w:sz w:val="21"/>
        </w:rPr>
        <w:t>Vi kommer att sträva efter att göra följande:</w:t>
      </w:r>
    </w:p>
    <w:p w14:paraId="5579CB0C"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xml:space="preserve">    i.             Främja innovation som ett sätt för regeringar att nå sina mål och göra mer för de människor som de arbetar för. </w:t>
      </w:r>
    </w:p>
    <w:p w14:paraId="3C6F7981"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             Uppmärksamma och stödja den innovation som redan sker.</w:t>
      </w:r>
    </w:p>
    <w:p w14:paraId="1B952428"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iii.             Uppskatta innovationens mångfasetterade art och anta en systemisk portföljstrategi för innovation som är skräddarsydd efter aktuella behov, mål och prioriteringar.</w:t>
      </w:r>
    </w:p>
    <w:p w14:paraId="4398C149"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iv.             Börja eller fortsätta att förvalta innovationssystemet utifrån de olika förvaltningsnivåernas respektive skyldigheter och funktioner och de olika graderna av centralisering inom den offentliga förvaltningen.</w:t>
      </w:r>
    </w:p>
    <w:p w14:paraId="563BF48B"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v.             Inse att innovation, i likhet med andra viktiga funktioner, kräver investeringar och stöd för att falla väl ut.</w:t>
      </w:r>
    </w:p>
    <w:p w14:paraId="55216F55"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B. Uppmuntra och rusta alla offentliga tjänstemän för att arbeta innovativt</w:t>
      </w:r>
    </w:p>
    <w:p w14:paraId="7EB8ECDD"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color w:val="000000"/>
          <w:sz w:val="21"/>
        </w:rPr>
        <w:t>Vi kommer att sträva efter att göra följande:</w:t>
      </w:r>
    </w:p>
    <w:p w14:paraId="1763C416"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             Inse de fördelar som en kultur av öppenhet, av att lära av sina misstag och av samarbete mellan funktioner och sektorer innebär för innovationsarbetet.</w:t>
      </w:r>
    </w:p>
    <w:p w14:paraId="696645C0"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             Ge offentliga organisationer och tjänstemän tillstånd att ta lämpliga risker och utforska och arbeta med nya idéer, teknologier och arbetsmetoder inom ramen för deras kärnverksamhet.</w:t>
      </w:r>
    </w:p>
    <w:p w14:paraId="138EB4B7"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iii.             Förtydliga ansvaret för innovation så att alla vet hur de kan delta eller bidra.</w:t>
      </w:r>
    </w:p>
    <w:p w14:paraId="64B77B6A"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xml:space="preserve">  iv.             Vara medvetna om att innovation kräver och omfattar en rad olika färdigheter och kompetenser, samt motivation. </w:t>
      </w:r>
    </w:p>
    <w:p w14:paraId="6E066E6B"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xml:space="preserve">   v.             Säkerställa att stödstrukturer, processer och arbetsvillkor gör det lättare för offentliga tjänstemän att arbeta innovativt och kontinuerligt ompröva inarbetade rutiner som i onödig utsträckning kan förhindra innovation. </w:t>
      </w:r>
    </w:p>
    <w:p w14:paraId="07C6E1B5"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C. Ingå nya partnerskap och låta olika röster komma till tals</w:t>
      </w:r>
    </w:p>
    <w:p w14:paraId="73CD8058"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color w:val="000000"/>
          <w:sz w:val="21"/>
        </w:rPr>
        <w:t>Vi kommer att sträva efter att göra följande:</w:t>
      </w:r>
    </w:p>
    <w:p w14:paraId="2DC19486"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             Sammanföra olika aktörer (offentliga, privata, ideella och enskilda) så att offentliga organisationer kan ingå partnerskap, samarbeta och gemensamt skapa nya angreppssätt eller lösningar på problem.</w:t>
      </w:r>
    </w:p>
    <w:p w14:paraId="766BA986"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xml:space="preserve">   ii.             Upprätta partnerskap och ansluta till befintliga nätverk för utbyten inom, utanför och över hela innovationssystemet för att öka innovationskapaciteten. </w:t>
      </w:r>
    </w:p>
    <w:p w14:paraId="1B537983"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iii.             Utveckla ett spektrum av metoder för samarbete och gemensamt skapande och använda olika former av detta för att säkerställa att innovationsarbetet bygger på beprövad erfarenhet och relevant expertkunskap.</w:t>
      </w:r>
    </w:p>
    <w:p w14:paraId="6C694591"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iv.             Undersöka möjligheter att ingå partnerskap med andra länder om gränsöverskridande utmaningar som kräver innovativa tillvägagångssätt.</w:t>
      </w:r>
    </w:p>
    <w:p w14:paraId="1D9EC79C"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lastRenderedPageBreak/>
        <w:t>   v.             Lyssna efter nya och framträdande röster för att lättare upptäcka försiktiga signaler om att saker och ting håller på att förändras, vilket kan göra det lättare att identifiera framväxande behov av eller möjligheter för innovation.</w:t>
      </w:r>
    </w:p>
    <w:p w14:paraId="6F5C6FEE"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D. Ge stöd till att utforska, upprepa och testa</w:t>
      </w:r>
    </w:p>
    <w:p w14:paraId="483EE982"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color w:val="000000"/>
          <w:sz w:val="21"/>
        </w:rPr>
        <w:t>Vi kommer att sträva efter att göra följande:</w:t>
      </w:r>
    </w:p>
    <w:p w14:paraId="3090F75F"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             Stödja innovation som handlar om tydliga och kända prioriteringar och problem, och möjliggöra utforskande innovation när slutresultatet är ovisst.</w:t>
      </w:r>
    </w:p>
    <w:p w14:paraId="446EB481"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             Säkerställa att insatser görs för att utforska, upprepa och testa en portfölj, både på nivån för den offentliga sektorn som helhet och på nivån för enskilda departement och organisationer.</w:t>
      </w:r>
    </w:p>
    <w:p w14:paraId="660F8D28"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iii.             Inse att det kan finnas fördelar med att möjliggöra försöksverksamhet inom grundläggande system (till exempel användningen av digital teknik, budgetering, riskhantering och rapportering) och utforska om och hur de kan uppnås.</w:t>
      </w:r>
    </w:p>
    <w:p w14:paraId="7DA71EA1"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iv.             Känna igen och tillgodogöra oss det lärande som följer av att utforska, och förstå att försök och innovation ofta inte bara handlar om att lösa problem utan även om att lära.</w:t>
      </w:r>
    </w:p>
    <w:p w14:paraId="0F4F044C"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000000"/>
          <w:sz w:val="21"/>
        </w:rPr>
        <w:t>E. Sprida lärdomar och utbyta praxis</w:t>
      </w:r>
    </w:p>
    <w:p w14:paraId="65648A2F"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color w:val="000000"/>
          <w:sz w:val="21"/>
        </w:rPr>
        <w:t>Vi kommer att sträva efter att göra följande:</w:t>
      </w:r>
    </w:p>
    <w:p w14:paraId="5D161E37"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             Systematiskt utbyta kunskaper som förvärvas i samband med innovationsverksamheten (även om innovationen inte ger förväntat resultat).</w:t>
      </w:r>
    </w:p>
    <w:p w14:paraId="34920876"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             Främja nätverkande och kollegialt lärande för att underlätta för offentliga tjänstemän att lära och låna av varandra.</w:t>
      </w:r>
    </w:p>
    <w:p w14:paraId="615B6098"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iii.             Utveckla och upprätthålla system för återkoppling för att fånga upp synpunkter från invånare och personal i första ledet och använda dem i det fortlöpande lärandet.</w:t>
      </w:r>
    </w:p>
    <w:p w14:paraId="09959D3C" w14:textId="77777777" w:rsidR="0087117B" w:rsidRPr="0087117B" w:rsidRDefault="0087117B" w:rsidP="0087117B">
      <w:pPr>
        <w:spacing w:after="0" w:line="240" w:lineRule="auto"/>
        <w:ind w:left="-139"/>
        <w:rPr>
          <w:rFonts w:ascii="Open Sans" w:eastAsia="Times New Roman" w:hAnsi="Open Sans" w:cs="Times New Roman"/>
          <w:color w:val="1A2126"/>
          <w:spacing w:val="12"/>
          <w:sz w:val="21"/>
          <w:szCs w:val="21"/>
        </w:rPr>
      </w:pPr>
      <w:r>
        <w:rPr>
          <w:rFonts w:ascii="Open Sans" w:hAnsi="Open Sans"/>
          <w:color w:val="000000"/>
          <w:sz w:val="21"/>
        </w:rPr>
        <w:t>  iv.             Etablera god utvärderingspraxis för att lära, styra innovationsprocessen och bedöma värdet av den innovation som sker.</w:t>
      </w:r>
    </w:p>
    <w:p w14:paraId="4BBDBD7F" w14:textId="77777777" w:rsidR="0087117B" w:rsidRPr="0087117B" w:rsidRDefault="0087117B" w:rsidP="0087117B">
      <w:pPr>
        <w:spacing w:after="0" w:line="240" w:lineRule="auto"/>
        <w:rPr>
          <w:rFonts w:ascii="Open Sans" w:eastAsia="Times New Roman" w:hAnsi="Open Sans" w:cs="Times New Roman"/>
          <w:color w:val="1A2126"/>
          <w:spacing w:val="12"/>
          <w:sz w:val="21"/>
          <w:szCs w:val="21"/>
        </w:rPr>
      </w:pPr>
      <w:r>
        <w:rPr>
          <w:rFonts w:ascii="Open Sans" w:hAnsi="Open Sans"/>
          <w:b/>
          <w:color w:val="1A2126"/>
          <w:sz w:val="21"/>
        </w:rPr>
        <w:t xml:space="preserve">II. </w:t>
      </w:r>
      <w:r>
        <w:rPr>
          <w:rFonts w:ascii="Open Sans" w:hAnsi="Open Sans"/>
          <w:b/>
          <w:color w:val="000000"/>
          <w:sz w:val="21"/>
        </w:rPr>
        <w:t>UPPMANAR</w:t>
      </w:r>
      <w:r>
        <w:rPr>
          <w:rFonts w:ascii="Open Sans" w:hAnsi="Open Sans"/>
          <w:color w:val="000000"/>
          <w:sz w:val="21"/>
        </w:rPr>
        <w:t xml:space="preserve"> OECD att stödja denna deklaration och fortsätta sitt arbete med att främja och verka för innovation i den offentliga sektorn genom att tillhandahålla en plattform för dialog och utbyte av kunskap om innovation i den offentliga sektorn, fortsätta att systematiskt samla in och analysera exempel på innovativa metoder, och stödja länder i arbetet med att främja innovation, bland annat genom </w:t>
      </w:r>
      <w:proofErr w:type="spellStart"/>
      <w:r>
        <w:rPr>
          <w:rFonts w:ascii="Open Sans" w:hAnsi="Open Sans"/>
          <w:color w:val="000000"/>
          <w:sz w:val="21"/>
        </w:rPr>
        <w:t>landstudier</w:t>
      </w:r>
      <w:proofErr w:type="spellEnd"/>
      <w:r>
        <w:rPr>
          <w:rFonts w:ascii="Open Sans" w:hAnsi="Open Sans"/>
          <w:color w:val="000000"/>
          <w:sz w:val="21"/>
        </w:rPr>
        <w:t xml:space="preserve">. </w:t>
      </w:r>
    </w:p>
    <w:p w14:paraId="491B7B8A" w14:textId="77777777" w:rsidR="0087117B" w:rsidRPr="0087117B" w:rsidRDefault="0087117B" w:rsidP="0087117B">
      <w:pPr>
        <w:spacing w:before="300" w:after="300" w:line="240" w:lineRule="auto"/>
        <w:outlineLvl w:val="2"/>
        <w:rPr>
          <w:rFonts w:ascii="Open Sans" w:eastAsia="Times New Roman" w:hAnsi="Open Sans" w:cs="Times New Roman"/>
          <w:b/>
          <w:bCs/>
          <w:color w:val="1A2126"/>
          <w:spacing w:val="12"/>
          <w:sz w:val="36"/>
          <w:szCs w:val="36"/>
        </w:rPr>
      </w:pPr>
      <w:r>
        <w:rPr>
          <w:rFonts w:ascii="Open Sans" w:hAnsi="Open Sans"/>
          <w:b/>
          <w:color w:val="1A2126"/>
          <w:sz w:val="36"/>
        </w:rPr>
        <w:t>Bakgrund</w:t>
      </w:r>
    </w:p>
    <w:p w14:paraId="3E5F4522" w14:textId="77777777" w:rsidR="0087117B" w:rsidRPr="0087117B" w:rsidRDefault="0087117B" w:rsidP="0087117B">
      <w:pPr>
        <w:spacing w:after="0" w:line="240" w:lineRule="auto"/>
        <w:jc w:val="both"/>
        <w:rPr>
          <w:rFonts w:ascii="Open Sans" w:eastAsia="Times New Roman" w:hAnsi="Open Sans" w:cs="Times New Roman"/>
          <w:color w:val="1A2126"/>
          <w:spacing w:val="12"/>
          <w:sz w:val="21"/>
          <w:szCs w:val="21"/>
        </w:rPr>
      </w:pPr>
      <w:r>
        <w:rPr>
          <w:rFonts w:ascii="Open Sans" w:hAnsi="Open Sans"/>
          <w:color w:val="1A2126"/>
          <w:sz w:val="21"/>
        </w:rPr>
        <w:t>Deklarationen om innovation i offentlig sektor (deklarationen) antogs av 35 OECD-medlemmar och fem icke-medlemmar den 22 maj 2019 i samband med OECD-rådets ministermöte. Syftet med deklarationen är att legitimera innovation som en grundläggande och strategisk funktion för offentliga organisationer och i offentliga tjänstemäns dagliga arbete. I deklarationen ger regeringarna uttryck för sin gemensamma ståndpunkt om hur de kan stödja, förbättra och utöka arbetet med innovation för att möta en rad olika utmaningar och för att tillvarata de nya möjligheter som uppstår. Den innehåller gemensamma principer, begrepp och formuleringar som regeringarna kan använda sig av för att utveckla eller förbättra sitt eget förhållningssätt till innovationshantering på de sätt som är relevanta för deras specifika mål och administrativa förhållanden. </w:t>
      </w:r>
    </w:p>
    <w:p w14:paraId="67EC07AF"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b/>
          <w:i/>
          <w:color w:val="1A2126"/>
          <w:sz w:val="21"/>
        </w:rPr>
        <w:t>Deklaration om innovation</w:t>
      </w:r>
    </w:p>
    <w:p w14:paraId="64EFB8B6"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color w:val="1A2126"/>
          <w:sz w:val="21"/>
        </w:rPr>
        <w:t xml:space="preserve">Deklarationen innehåller fem övergripande principer och tillhörande åtgärder för att legitimera och stödja innovation som en grundläggande och strategisk funktion för offentliga </w:t>
      </w:r>
      <w:r>
        <w:rPr>
          <w:rFonts w:ascii="Open Sans" w:hAnsi="Open Sans"/>
          <w:color w:val="1A2126"/>
          <w:sz w:val="21"/>
        </w:rPr>
        <w:lastRenderedPageBreak/>
        <w:t>organisationer och offentliga tjänstemäns arbete. I deklarationen avses med innovation i vid bemärkelse införandet av något nytt i ett sammanhang för att uppnå en effekt. I skrivande stund konstateras att innovation fortfarande är ett framväxande område inom forskning och praktik och att deklarationen återspeglar OECD:s senaste och övergripande uppfattning i frågan. </w:t>
      </w:r>
    </w:p>
    <w:p w14:paraId="5B8E0CC9"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color w:val="1A2126"/>
          <w:sz w:val="21"/>
        </w:rPr>
        <w:t>Deklarationsstaterna pekar på innovationens betydelse för hur de tar sig an rutinbetonade och komplexa utmaningar och tillvaratar möjligheter. De kan använda principerna och åtgärderna som underlag för att forma eller förbättra sina egna, kontextuellt relevanta förhållningssätt till innovation och dess hantering.  </w:t>
      </w:r>
    </w:p>
    <w:p w14:paraId="738D5FB8"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color w:val="1A2126"/>
          <w:sz w:val="21"/>
        </w:rPr>
        <w:t>Deklarationen innehåller gemensamma principer och åtgärder vilket gör att regeringar med olika bakgrund, erfarenheter och behov kan tala samma språk i fråga om innovation och därför bättre kan förstå, utbyta idéer med och lära av varandra. </w:t>
      </w:r>
    </w:p>
    <w:p w14:paraId="119E1AD8"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b/>
          <w:i/>
          <w:color w:val="1A2126"/>
          <w:sz w:val="21"/>
        </w:rPr>
        <w:t>En evidensbaserad och inkluderande process för att utarbeta deklarationen</w:t>
      </w:r>
    </w:p>
    <w:p w14:paraId="797893D3"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color w:val="1A2126"/>
          <w:sz w:val="21"/>
        </w:rPr>
        <w:t xml:space="preserve">Deklarationen är ett resultat av flera års diskussioner, forskning, analyser och </w:t>
      </w:r>
      <w:proofErr w:type="spellStart"/>
      <w:r>
        <w:rPr>
          <w:rFonts w:ascii="Open Sans" w:hAnsi="Open Sans"/>
          <w:color w:val="1A2126"/>
          <w:sz w:val="21"/>
        </w:rPr>
        <w:t>landstudier</w:t>
      </w:r>
      <w:proofErr w:type="spellEnd"/>
      <w:r>
        <w:rPr>
          <w:rFonts w:ascii="Open Sans" w:hAnsi="Open Sans"/>
          <w:color w:val="1A2126"/>
          <w:sz w:val="21"/>
        </w:rPr>
        <w:t xml:space="preserve"> som OECD, särskilt genom sitt observationsorgan </w:t>
      </w:r>
      <w:proofErr w:type="spellStart"/>
      <w:r>
        <w:rPr>
          <w:rFonts w:ascii="Open Sans" w:hAnsi="Open Sans"/>
          <w:color w:val="1A2126"/>
          <w:sz w:val="21"/>
        </w:rPr>
        <w:t>Observatory</w:t>
      </w:r>
      <w:proofErr w:type="spellEnd"/>
      <w:r>
        <w:rPr>
          <w:rFonts w:ascii="Open Sans" w:hAnsi="Open Sans"/>
          <w:color w:val="1A2126"/>
          <w:sz w:val="21"/>
        </w:rPr>
        <w:t xml:space="preserve"> </w:t>
      </w:r>
      <w:proofErr w:type="spellStart"/>
      <w:r>
        <w:rPr>
          <w:rFonts w:ascii="Open Sans" w:hAnsi="Open Sans"/>
          <w:color w:val="1A2126"/>
          <w:sz w:val="21"/>
        </w:rPr>
        <w:t>of</w:t>
      </w:r>
      <w:proofErr w:type="spellEnd"/>
      <w:r>
        <w:rPr>
          <w:rFonts w:ascii="Open Sans" w:hAnsi="Open Sans"/>
          <w:color w:val="1A2126"/>
          <w:sz w:val="21"/>
        </w:rPr>
        <w:t xml:space="preserve"> Public </w:t>
      </w:r>
      <w:proofErr w:type="spellStart"/>
      <w:r>
        <w:rPr>
          <w:rFonts w:ascii="Open Sans" w:hAnsi="Open Sans"/>
          <w:color w:val="1A2126"/>
          <w:sz w:val="21"/>
        </w:rPr>
        <w:t>Sector</w:t>
      </w:r>
      <w:proofErr w:type="spellEnd"/>
      <w:r>
        <w:rPr>
          <w:rFonts w:ascii="Open Sans" w:hAnsi="Open Sans"/>
          <w:color w:val="1A2126"/>
          <w:sz w:val="21"/>
        </w:rPr>
        <w:t xml:space="preserve"> Innovation (</w:t>
      </w:r>
      <w:proofErr w:type="spellStart"/>
      <w:r>
        <w:rPr>
          <w:rFonts w:ascii="Open Sans" w:hAnsi="Open Sans"/>
          <w:color w:val="1A2126"/>
          <w:sz w:val="21"/>
        </w:rPr>
        <w:t>Opsi</w:t>
      </w:r>
      <w:proofErr w:type="spellEnd"/>
      <w:r>
        <w:rPr>
          <w:rFonts w:ascii="Open Sans" w:hAnsi="Open Sans"/>
          <w:color w:val="1A2126"/>
          <w:sz w:val="21"/>
        </w:rPr>
        <w:t xml:space="preserve">), har företagit om innovation i offentlig sektor. Under åren 2014–2017 fördes diskussioner vid Opsis konferenser om möjligheten att inom OECD inrätta ett rättsligt instrument för innovation. Under hela 2018 och 2019 granskade Opsis nationella kontaktpunkter och OECD:s kommitté för offentlig styrning Public </w:t>
      </w:r>
      <w:proofErr w:type="spellStart"/>
      <w:r>
        <w:rPr>
          <w:rFonts w:ascii="Open Sans" w:hAnsi="Open Sans"/>
          <w:color w:val="1A2126"/>
          <w:sz w:val="21"/>
        </w:rPr>
        <w:t>Governance</w:t>
      </w:r>
      <w:proofErr w:type="spellEnd"/>
      <w:r>
        <w:rPr>
          <w:rFonts w:ascii="Open Sans" w:hAnsi="Open Sans"/>
          <w:color w:val="1A2126"/>
          <w:sz w:val="21"/>
        </w:rPr>
        <w:t xml:space="preserve"> </w:t>
      </w:r>
      <w:proofErr w:type="spellStart"/>
      <w:r>
        <w:rPr>
          <w:rFonts w:ascii="Open Sans" w:hAnsi="Open Sans"/>
          <w:color w:val="1A2126"/>
          <w:sz w:val="21"/>
        </w:rPr>
        <w:t>Committee</w:t>
      </w:r>
      <w:proofErr w:type="spellEnd"/>
      <w:r>
        <w:rPr>
          <w:rFonts w:ascii="Open Sans" w:hAnsi="Open Sans"/>
          <w:color w:val="1A2126"/>
          <w:sz w:val="21"/>
        </w:rPr>
        <w:t xml:space="preserve"> (PGC) utkastet till deklaration, som återspeglar många konversationer och former av samarbete med OECD:s medlemmar och icke-medlemmar samt synpunkter från allmänheten. Tanken är att ge upphov till många fler. </w:t>
      </w:r>
    </w:p>
    <w:p w14:paraId="21CC112C" w14:textId="77777777" w:rsidR="0087117B" w:rsidRPr="0087117B" w:rsidRDefault="0087117B" w:rsidP="0087117B">
      <w:pPr>
        <w:spacing w:after="0" w:line="240" w:lineRule="auto"/>
        <w:jc w:val="both"/>
        <w:rPr>
          <w:rFonts w:ascii="Open Sans" w:eastAsia="Times New Roman" w:hAnsi="Open Sans" w:cs="Times New Roman"/>
          <w:color w:val="1A2126"/>
          <w:spacing w:val="12"/>
          <w:sz w:val="21"/>
          <w:szCs w:val="21"/>
        </w:rPr>
      </w:pPr>
      <w:r>
        <w:rPr>
          <w:rFonts w:ascii="Open Sans" w:hAnsi="Open Sans"/>
          <w:color w:val="1A2126"/>
          <w:sz w:val="21"/>
        </w:rPr>
        <w:t xml:space="preserve">Det var viktigt för </w:t>
      </w:r>
      <w:proofErr w:type="spellStart"/>
      <w:r>
        <w:rPr>
          <w:rFonts w:ascii="Open Sans" w:hAnsi="Open Sans"/>
          <w:color w:val="1A2126"/>
          <w:sz w:val="21"/>
        </w:rPr>
        <w:t>Opsi</w:t>
      </w:r>
      <w:proofErr w:type="spellEnd"/>
      <w:r>
        <w:rPr>
          <w:rFonts w:ascii="Open Sans" w:hAnsi="Open Sans"/>
          <w:color w:val="1A2126"/>
          <w:sz w:val="21"/>
        </w:rPr>
        <w:t xml:space="preserve"> och PGC att inleda ett omfattande offentligt samråd om utkastet till deklarationen för att säkerställa att dess innehåll återspeglade slutanvändarnas behov, i syfte att inhämta meningsfull återkoppling från viktiga berörda parter och målgrupper om utkastet till deklarationen. Återkopplingens kvalitet var lika viktig som dess kvantitet, med tanke på deklarationens strävan efter att uppnå samstämmighet i fråga om begrepp och språk inom ett framväxande forsknings- och praktikområde för en grupp personer som ofta till stor del verkar utanför förvaltningens ordinarie verksamhet. </w:t>
      </w:r>
    </w:p>
    <w:p w14:paraId="2CBB80DB"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color w:val="1A2126"/>
          <w:sz w:val="21"/>
        </w:rPr>
        <w:t xml:space="preserve">Detta mål kunde förverkligas genom ett integrerat deltagande av berörda parter och en strategisk kommunikationskampanj. </w:t>
      </w:r>
      <w:proofErr w:type="spellStart"/>
      <w:r>
        <w:rPr>
          <w:rFonts w:ascii="Open Sans" w:hAnsi="Open Sans"/>
          <w:color w:val="1A2126"/>
          <w:sz w:val="21"/>
        </w:rPr>
        <w:t>Opsi</w:t>
      </w:r>
      <w:proofErr w:type="spellEnd"/>
      <w:r>
        <w:rPr>
          <w:rFonts w:ascii="Open Sans" w:hAnsi="Open Sans"/>
          <w:color w:val="1A2126"/>
          <w:sz w:val="21"/>
        </w:rPr>
        <w:t xml:space="preserve"> förvaltade ett program för berörda parters deltagande och en integrerad kommunikationskampanj under parollen ”</w:t>
      </w:r>
      <w:proofErr w:type="spellStart"/>
      <w:r>
        <w:rPr>
          <w:rFonts w:ascii="Open Sans" w:hAnsi="Open Sans"/>
          <w:color w:val="1A2126"/>
          <w:sz w:val="21"/>
        </w:rPr>
        <w:t>Declare</w:t>
      </w:r>
      <w:proofErr w:type="spellEnd"/>
      <w:r>
        <w:rPr>
          <w:rFonts w:ascii="Open Sans" w:hAnsi="Open Sans"/>
          <w:color w:val="1A2126"/>
          <w:sz w:val="21"/>
        </w:rPr>
        <w:t xml:space="preserve"> to </w:t>
      </w:r>
      <w:proofErr w:type="spellStart"/>
      <w:r>
        <w:rPr>
          <w:rFonts w:ascii="Open Sans" w:hAnsi="Open Sans"/>
          <w:color w:val="1A2126"/>
          <w:sz w:val="21"/>
        </w:rPr>
        <w:t>Innovate</w:t>
      </w:r>
      <w:proofErr w:type="spellEnd"/>
      <w:r>
        <w:rPr>
          <w:rFonts w:ascii="Open Sans" w:hAnsi="Open Sans"/>
          <w:color w:val="1A2126"/>
          <w:sz w:val="21"/>
        </w:rPr>
        <w:t xml:space="preserve">”, som bestod av innehållsskapande och marknadsföring, kontakter med media, </w:t>
      </w:r>
      <w:proofErr w:type="spellStart"/>
      <w:r>
        <w:rPr>
          <w:rFonts w:ascii="Open Sans" w:hAnsi="Open Sans"/>
          <w:color w:val="1A2126"/>
          <w:sz w:val="21"/>
        </w:rPr>
        <w:t>webbinarier</w:t>
      </w:r>
      <w:proofErr w:type="spellEnd"/>
      <w:r>
        <w:rPr>
          <w:rFonts w:ascii="Open Sans" w:hAnsi="Open Sans"/>
          <w:color w:val="1A2126"/>
          <w:sz w:val="21"/>
        </w:rPr>
        <w:t xml:space="preserve"> och sociala medier vilket på Twitter resulterade i 149 000 visningar för </w:t>
      </w:r>
      <w:proofErr w:type="spellStart"/>
      <w:r>
        <w:rPr>
          <w:rFonts w:ascii="Open Sans" w:hAnsi="Open Sans"/>
          <w:color w:val="1A2126"/>
          <w:sz w:val="21"/>
        </w:rPr>
        <w:t>hashtaggen</w:t>
      </w:r>
      <w:proofErr w:type="spellEnd"/>
      <w:r>
        <w:rPr>
          <w:rFonts w:ascii="Open Sans" w:hAnsi="Open Sans"/>
          <w:color w:val="1A2126"/>
          <w:sz w:val="21"/>
        </w:rPr>
        <w:t xml:space="preserve"> #declaretoinnovate och ett stort deltagande i samrådsförfarandet. </w:t>
      </w:r>
    </w:p>
    <w:p w14:paraId="304B0A0E"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color w:val="1A2126"/>
          <w:sz w:val="21"/>
        </w:rPr>
        <w:t xml:space="preserve">Under det offentliga samrådet tog </w:t>
      </w:r>
      <w:proofErr w:type="spellStart"/>
      <w:r>
        <w:rPr>
          <w:rFonts w:ascii="Open Sans" w:hAnsi="Open Sans"/>
          <w:color w:val="1A2126"/>
          <w:sz w:val="21"/>
        </w:rPr>
        <w:t>Opsi</w:t>
      </w:r>
      <w:proofErr w:type="spellEnd"/>
      <w:r>
        <w:rPr>
          <w:rFonts w:ascii="Open Sans" w:hAnsi="Open Sans"/>
          <w:color w:val="1A2126"/>
          <w:sz w:val="21"/>
        </w:rPr>
        <w:t xml:space="preserve"> emot 97 svar från 38 olika länder via sin särskilda digitala samrådsplattform. Dessa svar bestod av både enskilda svar, från personer som reflekterade över sina egna erfarenheter/sin egen organisation, och gruppsvar, som återspeglade en sammanställning av en grupps samlade svar.</w:t>
      </w:r>
    </w:p>
    <w:p w14:paraId="49CD9347"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b/>
          <w:i/>
          <w:color w:val="1A2126"/>
          <w:sz w:val="21"/>
        </w:rPr>
        <w:t>Nästa steg/OECD:s stöd till deklarationsstaterna</w:t>
      </w:r>
    </w:p>
    <w:p w14:paraId="6E97DC9D" w14:textId="77777777" w:rsidR="0087117B" w:rsidRPr="0087117B" w:rsidRDefault="0087117B" w:rsidP="0087117B">
      <w:pPr>
        <w:spacing w:before="210" w:after="210" w:line="240" w:lineRule="auto"/>
        <w:jc w:val="both"/>
        <w:rPr>
          <w:rFonts w:ascii="Open Sans" w:eastAsia="Times New Roman" w:hAnsi="Open Sans" w:cs="Times New Roman"/>
          <w:color w:val="1A2126"/>
          <w:spacing w:val="12"/>
          <w:sz w:val="21"/>
          <w:szCs w:val="21"/>
        </w:rPr>
      </w:pPr>
      <w:r>
        <w:rPr>
          <w:rFonts w:ascii="Open Sans" w:hAnsi="Open Sans"/>
          <w:color w:val="1A2126"/>
          <w:sz w:val="21"/>
        </w:rPr>
        <w:t>För att hjälpa deklarationsstaterna och andra berörda parter inom innovationssamfundet i stort att dra nytta av deklarationen kan OECD </w:t>
      </w:r>
    </w:p>
    <w:p w14:paraId="52F75A5C" w14:textId="77777777" w:rsidR="0087117B" w:rsidRPr="0087117B" w:rsidRDefault="0087117B" w:rsidP="0087117B">
      <w:pPr>
        <w:numPr>
          <w:ilvl w:val="0"/>
          <w:numId w:val="1"/>
        </w:numPr>
        <w:spacing w:before="100" w:beforeAutospacing="1" w:after="100" w:afterAutospacing="1" w:line="240" w:lineRule="auto"/>
        <w:ind w:left="-270"/>
        <w:jc w:val="both"/>
        <w:rPr>
          <w:rFonts w:ascii="Open Sans" w:eastAsia="Times New Roman" w:hAnsi="Open Sans" w:cs="Times New Roman"/>
          <w:color w:val="1A2126"/>
          <w:spacing w:val="12"/>
          <w:sz w:val="21"/>
          <w:szCs w:val="21"/>
        </w:rPr>
      </w:pPr>
      <w:r>
        <w:rPr>
          <w:rFonts w:ascii="Open Sans" w:hAnsi="Open Sans"/>
          <w:color w:val="1A2126"/>
          <w:sz w:val="21"/>
        </w:rPr>
        <w:lastRenderedPageBreak/>
        <w:t>hjälpa deklarationsstaterna att identifiera, förstå och lägga fram politiska rekommendationer om hinder och utmaningar för innovation i offentlig sektor på system- och organisationsnivå, </w:t>
      </w:r>
    </w:p>
    <w:p w14:paraId="765267D7" w14:textId="77777777" w:rsidR="0087117B" w:rsidRPr="0087117B" w:rsidRDefault="0087117B" w:rsidP="0087117B">
      <w:pPr>
        <w:numPr>
          <w:ilvl w:val="0"/>
          <w:numId w:val="1"/>
        </w:numPr>
        <w:spacing w:before="100" w:beforeAutospacing="1" w:after="100" w:afterAutospacing="1" w:line="240" w:lineRule="auto"/>
        <w:ind w:left="-270"/>
        <w:jc w:val="both"/>
        <w:rPr>
          <w:rFonts w:ascii="Open Sans" w:eastAsia="Times New Roman" w:hAnsi="Open Sans" w:cs="Times New Roman"/>
          <w:color w:val="1A2126"/>
          <w:spacing w:val="12"/>
          <w:sz w:val="21"/>
          <w:szCs w:val="21"/>
        </w:rPr>
      </w:pPr>
      <w:r>
        <w:rPr>
          <w:rFonts w:ascii="Open Sans" w:hAnsi="Open Sans"/>
          <w:color w:val="1A2126"/>
          <w:sz w:val="21"/>
        </w:rPr>
        <w:t>samarbeta med deklarationsstaterna vid utformningen och användningen av stödresurser för systemet (</w:t>
      </w:r>
      <w:proofErr w:type="gramStart"/>
      <w:r>
        <w:rPr>
          <w:rFonts w:ascii="Open Sans" w:hAnsi="Open Sans"/>
          <w:color w:val="1A2126"/>
          <w:sz w:val="21"/>
        </w:rPr>
        <w:t>t.ex.</w:t>
      </w:r>
      <w:proofErr w:type="gramEnd"/>
      <w:r>
        <w:rPr>
          <w:rFonts w:ascii="Open Sans" w:hAnsi="Open Sans"/>
          <w:color w:val="1A2126"/>
          <w:sz w:val="21"/>
        </w:rPr>
        <w:t xml:space="preserve"> politik och lagstiftning, nätverk osv.), </w:t>
      </w:r>
    </w:p>
    <w:p w14:paraId="52669CF0" w14:textId="77777777" w:rsidR="0087117B" w:rsidRPr="0087117B" w:rsidRDefault="0087117B" w:rsidP="0087117B">
      <w:pPr>
        <w:numPr>
          <w:ilvl w:val="0"/>
          <w:numId w:val="1"/>
        </w:numPr>
        <w:spacing w:before="100" w:beforeAutospacing="1" w:after="100" w:afterAutospacing="1" w:line="240" w:lineRule="auto"/>
        <w:ind w:left="-270"/>
        <w:jc w:val="both"/>
        <w:rPr>
          <w:rFonts w:ascii="Open Sans" w:eastAsia="Times New Roman" w:hAnsi="Open Sans" w:cs="Times New Roman"/>
          <w:color w:val="1A2126"/>
          <w:spacing w:val="12"/>
          <w:sz w:val="21"/>
          <w:szCs w:val="21"/>
        </w:rPr>
      </w:pPr>
      <w:r>
        <w:rPr>
          <w:rFonts w:ascii="Open Sans" w:hAnsi="Open Sans"/>
          <w:color w:val="1A2126"/>
          <w:sz w:val="21"/>
        </w:rPr>
        <w:t xml:space="preserve">samla in och utbyta evidens om hur deklarationens principer genomförs i deklarationsstaterna, bland annat genom att lyfta fram medborgarnas synpunkter om upplevda effekter, </w:t>
      </w:r>
    </w:p>
    <w:p w14:paraId="459F8A83" w14:textId="77777777" w:rsidR="0087117B" w:rsidRPr="0087117B" w:rsidRDefault="0087117B" w:rsidP="0087117B">
      <w:pPr>
        <w:numPr>
          <w:ilvl w:val="0"/>
          <w:numId w:val="1"/>
        </w:numPr>
        <w:spacing w:before="100" w:beforeAutospacing="1" w:after="100" w:afterAutospacing="1" w:line="240" w:lineRule="auto"/>
        <w:ind w:left="-270"/>
        <w:jc w:val="both"/>
        <w:rPr>
          <w:rFonts w:ascii="Open Sans" w:eastAsia="Times New Roman" w:hAnsi="Open Sans" w:cs="Times New Roman"/>
          <w:color w:val="1A2126"/>
          <w:spacing w:val="12"/>
          <w:sz w:val="21"/>
          <w:szCs w:val="21"/>
        </w:rPr>
      </w:pPr>
      <w:r>
        <w:rPr>
          <w:rFonts w:ascii="Open Sans" w:hAnsi="Open Sans"/>
          <w:color w:val="1A2126"/>
          <w:sz w:val="21"/>
        </w:rPr>
        <w:t>ge organisationer stöd i form av särskilda interventioner, till exempel workshoppar om deklarationens syfte och användning, kapacitetsuppbyggnad och bästa praxis,</w:t>
      </w:r>
    </w:p>
    <w:p w14:paraId="1491AFF0" w14:textId="77777777" w:rsidR="0087117B" w:rsidRPr="0087117B" w:rsidRDefault="0087117B" w:rsidP="0087117B">
      <w:pPr>
        <w:numPr>
          <w:ilvl w:val="0"/>
          <w:numId w:val="1"/>
        </w:numPr>
        <w:spacing w:before="100" w:beforeAutospacing="1" w:after="100" w:afterAutospacing="1" w:line="240" w:lineRule="auto"/>
        <w:ind w:left="-270"/>
        <w:jc w:val="both"/>
        <w:rPr>
          <w:rFonts w:ascii="Open Sans" w:eastAsia="Times New Roman" w:hAnsi="Open Sans" w:cs="Times New Roman"/>
          <w:color w:val="1A2126"/>
          <w:spacing w:val="12"/>
          <w:sz w:val="21"/>
          <w:szCs w:val="21"/>
        </w:rPr>
      </w:pPr>
      <w:r>
        <w:rPr>
          <w:rFonts w:ascii="Open Sans" w:hAnsi="Open Sans"/>
          <w:color w:val="1A2126"/>
          <w:sz w:val="21"/>
        </w:rPr>
        <w:t>ge deklarationsstaterna råd om hur de kan upprätta plattformar för nationella diskussioner om fördelarna med och effekterna av innovation i offentlig sektor för att förbättra utfallet för medborgarna.</w:t>
      </w:r>
    </w:p>
    <w:p w14:paraId="341756B1" w14:textId="77777777" w:rsidR="0087117B" w:rsidRPr="008D390C" w:rsidRDefault="0087117B" w:rsidP="0087117B">
      <w:pPr>
        <w:spacing w:after="0" w:line="240" w:lineRule="auto"/>
        <w:jc w:val="both"/>
        <w:rPr>
          <w:rFonts w:ascii="Open Sans" w:eastAsia="Times New Roman" w:hAnsi="Open Sans" w:cs="Times New Roman"/>
          <w:color w:val="1A2126"/>
          <w:spacing w:val="12"/>
          <w:sz w:val="21"/>
          <w:szCs w:val="21"/>
        </w:rPr>
      </w:pPr>
    </w:p>
    <w:p w14:paraId="7E65893B" w14:textId="77777777" w:rsidR="0087117B" w:rsidRPr="0087117B" w:rsidRDefault="0087117B" w:rsidP="0087117B">
      <w:pPr>
        <w:spacing w:after="0" w:line="240" w:lineRule="auto"/>
        <w:jc w:val="both"/>
        <w:rPr>
          <w:rFonts w:ascii="Open Sans" w:eastAsia="Times New Roman" w:hAnsi="Open Sans" w:cs="Times New Roman"/>
          <w:color w:val="1A2126"/>
          <w:spacing w:val="12"/>
          <w:sz w:val="21"/>
          <w:szCs w:val="21"/>
        </w:rPr>
      </w:pPr>
      <w:r>
        <w:rPr>
          <w:rFonts w:ascii="Open Sans" w:hAnsi="Open Sans"/>
          <w:i/>
          <w:color w:val="1A2126"/>
          <w:sz w:val="21"/>
        </w:rPr>
        <w:t xml:space="preserve">Mer information, läsmaterial om den teori och modell för innovation i offentlig sektor som ligger till grund för deklarationen och användbar vägledning om hur den kan användas finns här: </w:t>
      </w:r>
      <w:hyperlink r:id="rId8" w:history="1">
        <w:r>
          <w:rPr>
            <w:rFonts w:ascii="Open Sans" w:hAnsi="Open Sans"/>
            <w:i/>
            <w:color w:val="0000FF"/>
            <w:sz w:val="21"/>
            <w:u w:val="single"/>
          </w:rPr>
          <w:t>https://oe.cd/innovationdeclaration</w:t>
        </w:r>
      </w:hyperlink>
      <w:r>
        <w:rPr>
          <w:rFonts w:ascii="Open Sans" w:hAnsi="Open Sans"/>
          <w:i/>
          <w:color w:val="1A2126"/>
          <w:sz w:val="21"/>
        </w:rPr>
        <w:t>.</w:t>
      </w:r>
    </w:p>
    <w:p w14:paraId="184EA0D6" w14:textId="77777777" w:rsidR="0087117B" w:rsidRPr="008D390C" w:rsidRDefault="0087117B" w:rsidP="0087117B">
      <w:pPr>
        <w:spacing w:after="0" w:line="240" w:lineRule="auto"/>
        <w:jc w:val="both"/>
        <w:rPr>
          <w:rFonts w:ascii="Open Sans" w:eastAsia="Times New Roman" w:hAnsi="Open Sans" w:cs="Times New Roman"/>
          <w:color w:val="1A2126"/>
          <w:spacing w:val="12"/>
          <w:sz w:val="21"/>
          <w:szCs w:val="21"/>
        </w:rPr>
      </w:pPr>
    </w:p>
    <w:p w14:paraId="1B7CE3B9" w14:textId="77777777" w:rsidR="0087117B" w:rsidRPr="0087117B" w:rsidRDefault="0087117B" w:rsidP="0087117B">
      <w:pPr>
        <w:spacing w:after="100" w:line="240" w:lineRule="auto"/>
        <w:jc w:val="both"/>
        <w:rPr>
          <w:rFonts w:ascii="Open Sans" w:eastAsia="Times New Roman" w:hAnsi="Open Sans" w:cs="Times New Roman"/>
          <w:color w:val="1A2126"/>
          <w:spacing w:val="12"/>
          <w:sz w:val="21"/>
          <w:szCs w:val="21"/>
        </w:rPr>
      </w:pPr>
      <w:r>
        <w:rPr>
          <w:rFonts w:ascii="Open Sans" w:hAnsi="Open Sans"/>
          <w:i/>
          <w:color w:val="1A2126"/>
          <w:sz w:val="21"/>
        </w:rPr>
        <w:t xml:space="preserve">Informationsbladen finns på följande adresser: </w:t>
      </w:r>
      <w:hyperlink r:id="rId9" w:history="1">
        <w:r>
          <w:rPr>
            <w:rFonts w:ascii="Open Sans" w:hAnsi="Open Sans"/>
            <w:i/>
            <w:color w:val="0000FF"/>
            <w:sz w:val="21"/>
            <w:u w:val="single"/>
          </w:rPr>
          <w:t>De fem principerna och vägen framåt</w:t>
        </w:r>
      </w:hyperlink>
      <w:r>
        <w:rPr>
          <w:rFonts w:ascii="Open Sans" w:hAnsi="Open Sans"/>
          <w:i/>
          <w:color w:val="1A2126"/>
          <w:sz w:val="21"/>
        </w:rPr>
        <w:t xml:space="preserve"> och </w:t>
      </w:r>
      <w:hyperlink r:id="rId10" w:history="1">
        <w:r>
          <w:rPr>
            <w:rFonts w:ascii="Open Sans" w:hAnsi="Open Sans"/>
            <w:i/>
            <w:color w:val="0000FF"/>
            <w:sz w:val="21"/>
            <w:u w:val="single"/>
          </w:rPr>
          <w:t>tips på hur olika användare kan använda OECD:s deklaration</w:t>
        </w:r>
      </w:hyperlink>
      <w:r>
        <w:rPr>
          <w:rFonts w:ascii="Open Sans" w:hAnsi="Open Sans"/>
          <w:i/>
          <w:color w:val="1A2126"/>
          <w:sz w:val="21"/>
        </w:rPr>
        <w:t>.</w:t>
      </w:r>
    </w:p>
    <w:p w14:paraId="2138E99B" w14:textId="77777777" w:rsidR="0044225E" w:rsidRPr="008D390C" w:rsidRDefault="0044225E"/>
    <w:sectPr w:rsidR="0044225E" w:rsidRPr="008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13042"/>
    <w:multiLevelType w:val="multilevel"/>
    <w:tmpl w:val="3E0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31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E8"/>
    <w:rsid w:val="003E7DE8"/>
    <w:rsid w:val="0044225E"/>
    <w:rsid w:val="0087117B"/>
    <w:rsid w:val="008D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31A4"/>
  <w15:chartTrackingRefBased/>
  <w15:docId w15:val="{BCEEBA91-D222-4CF8-9FCB-C4A25B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931688">
      <w:bodyDiv w:val="1"/>
      <w:marLeft w:val="0"/>
      <w:marRight w:val="0"/>
      <w:marTop w:val="0"/>
      <w:marBottom w:val="0"/>
      <w:divBdr>
        <w:top w:val="none" w:sz="0" w:space="0" w:color="auto"/>
        <w:left w:val="none" w:sz="0" w:space="0" w:color="auto"/>
        <w:bottom w:val="none" w:sz="0" w:space="0" w:color="auto"/>
        <w:right w:val="none" w:sz="0" w:space="0" w:color="auto"/>
      </w:divBdr>
      <w:divsChild>
        <w:div w:id="1615408668">
          <w:marLeft w:val="0"/>
          <w:marRight w:val="0"/>
          <w:marTop w:val="0"/>
          <w:marBottom w:val="0"/>
          <w:divBdr>
            <w:top w:val="none" w:sz="0" w:space="0" w:color="auto"/>
            <w:left w:val="none" w:sz="0" w:space="0" w:color="auto"/>
            <w:bottom w:val="none" w:sz="0" w:space="0" w:color="auto"/>
            <w:right w:val="none" w:sz="0" w:space="0" w:color="auto"/>
          </w:divBdr>
          <w:divsChild>
            <w:div w:id="489834170">
              <w:marLeft w:val="0"/>
              <w:marRight w:val="0"/>
              <w:marTop w:val="0"/>
              <w:marBottom w:val="0"/>
              <w:divBdr>
                <w:top w:val="none" w:sz="0" w:space="0" w:color="auto"/>
                <w:left w:val="none" w:sz="0" w:space="0" w:color="auto"/>
                <w:bottom w:val="none" w:sz="0" w:space="0" w:color="auto"/>
                <w:right w:val="none" w:sz="0" w:space="0" w:color="auto"/>
              </w:divBdr>
              <w:divsChild>
                <w:div w:id="2080980100">
                  <w:marLeft w:val="0"/>
                  <w:marRight w:val="0"/>
                  <w:marTop w:val="100"/>
                  <w:marBottom w:val="100"/>
                  <w:divBdr>
                    <w:top w:val="none" w:sz="0" w:space="0" w:color="auto"/>
                    <w:left w:val="none" w:sz="0" w:space="0" w:color="auto"/>
                    <w:bottom w:val="none" w:sz="0" w:space="0" w:color="auto"/>
                    <w:right w:val="none" w:sz="0" w:space="0" w:color="auto"/>
                  </w:divBdr>
                  <w:divsChild>
                    <w:div w:id="1336423547">
                      <w:marLeft w:val="-330"/>
                      <w:marRight w:val="-330"/>
                      <w:marTop w:val="0"/>
                      <w:marBottom w:val="0"/>
                      <w:divBdr>
                        <w:top w:val="none" w:sz="0" w:space="0" w:color="auto"/>
                        <w:left w:val="none" w:sz="0" w:space="0" w:color="auto"/>
                        <w:bottom w:val="none" w:sz="0" w:space="0" w:color="auto"/>
                        <w:right w:val="none" w:sz="0" w:space="0" w:color="auto"/>
                      </w:divBdr>
                      <w:divsChild>
                        <w:div w:id="149954511">
                          <w:marLeft w:val="0"/>
                          <w:marRight w:val="0"/>
                          <w:marTop w:val="100"/>
                          <w:marBottom w:val="100"/>
                          <w:divBdr>
                            <w:top w:val="none" w:sz="0" w:space="0" w:color="auto"/>
                            <w:left w:val="none" w:sz="0" w:space="0" w:color="auto"/>
                            <w:bottom w:val="none" w:sz="0" w:space="0" w:color="auto"/>
                            <w:right w:val="none" w:sz="0" w:space="0" w:color="auto"/>
                          </w:divBdr>
                          <w:divsChild>
                            <w:div w:id="1312253816">
                              <w:marLeft w:val="-330"/>
                              <w:marRight w:val="-330"/>
                              <w:marTop w:val="0"/>
                              <w:marBottom w:val="0"/>
                              <w:divBdr>
                                <w:top w:val="none" w:sz="0" w:space="0" w:color="auto"/>
                                <w:left w:val="none" w:sz="0" w:space="0" w:color="auto"/>
                                <w:bottom w:val="none" w:sz="0" w:space="0" w:color="auto"/>
                                <w:right w:val="none" w:sz="0" w:space="0" w:color="auto"/>
                              </w:divBdr>
                              <w:divsChild>
                                <w:div w:id="2073111744">
                                  <w:marLeft w:val="0"/>
                                  <w:marRight w:val="0"/>
                                  <w:marTop w:val="0"/>
                                  <w:marBottom w:val="0"/>
                                  <w:divBdr>
                                    <w:top w:val="none" w:sz="0" w:space="0" w:color="auto"/>
                                    <w:left w:val="none" w:sz="0" w:space="0" w:color="auto"/>
                                    <w:bottom w:val="none" w:sz="0" w:space="0" w:color="auto"/>
                                    <w:right w:val="none" w:sz="0" w:space="0" w:color="auto"/>
                                  </w:divBdr>
                                  <w:divsChild>
                                    <w:div w:id="244656628">
                                      <w:marLeft w:val="0"/>
                                      <w:marRight w:val="0"/>
                                      <w:marTop w:val="0"/>
                                      <w:marBottom w:val="0"/>
                                      <w:divBdr>
                                        <w:top w:val="none" w:sz="0" w:space="0" w:color="auto"/>
                                        <w:left w:val="none" w:sz="0" w:space="0" w:color="auto"/>
                                        <w:bottom w:val="none" w:sz="0" w:space="0" w:color="auto"/>
                                        <w:right w:val="none" w:sz="0" w:space="0" w:color="auto"/>
                                      </w:divBdr>
                                      <w:divsChild>
                                        <w:div w:id="1093282817">
                                          <w:marLeft w:val="-330"/>
                                          <w:marRight w:val="-330"/>
                                          <w:marTop w:val="0"/>
                                          <w:marBottom w:val="0"/>
                                          <w:divBdr>
                                            <w:top w:val="none" w:sz="0" w:space="0" w:color="auto"/>
                                            <w:left w:val="none" w:sz="0" w:space="0" w:color="auto"/>
                                            <w:bottom w:val="none" w:sz="0" w:space="0" w:color="auto"/>
                                            <w:right w:val="none" w:sz="0" w:space="0" w:color="auto"/>
                                          </w:divBdr>
                                          <w:divsChild>
                                            <w:div w:id="1449347609">
                                              <w:marLeft w:val="0"/>
                                              <w:marRight w:val="0"/>
                                              <w:marTop w:val="0"/>
                                              <w:marBottom w:val="0"/>
                                              <w:divBdr>
                                                <w:top w:val="none" w:sz="0" w:space="0" w:color="auto"/>
                                                <w:left w:val="none" w:sz="0" w:space="0" w:color="auto"/>
                                                <w:bottom w:val="none" w:sz="0" w:space="0" w:color="auto"/>
                                                <w:right w:val="none" w:sz="0" w:space="0" w:color="auto"/>
                                              </w:divBdr>
                                              <w:divsChild>
                                                <w:div w:id="1486317984">
                                                  <w:marLeft w:val="0"/>
                                                  <w:marRight w:val="0"/>
                                                  <w:marTop w:val="0"/>
                                                  <w:marBottom w:val="0"/>
                                                  <w:divBdr>
                                                    <w:top w:val="none" w:sz="0" w:space="0" w:color="auto"/>
                                                    <w:left w:val="none" w:sz="0" w:space="0" w:color="auto"/>
                                                    <w:bottom w:val="none" w:sz="0" w:space="0" w:color="auto"/>
                                                    <w:right w:val="none" w:sz="0" w:space="0" w:color="auto"/>
                                                  </w:divBdr>
                                                  <w:divsChild>
                                                    <w:div w:id="3738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3399">
                                          <w:marLeft w:val="-330"/>
                                          <w:marRight w:val="-330"/>
                                          <w:marTop w:val="0"/>
                                          <w:marBottom w:val="0"/>
                                          <w:divBdr>
                                            <w:top w:val="none" w:sz="0" w:space="0" w:color="auto"/>
                                            <w:left w:val="none" w:sz="0" w:space="0" w:color="auto"/>
                                            <w:bottom w:val="none" w:sz="0" w:space="0" w:color="auto"/>
                                            <w:right w:val="none" w:sz="0" w:space="0" w:color="auto"/>
                                          </w:divBdr>
                                          <w:divsChild>
                                            <w:div w:id="798647946">
                                              <w:marLeft w:val="0"/>
                                              <w:marRight w:val="0"/>
                                              <w:marTop w:val="0"/>
                                              <w:marBottom w:val="0"/>
                                              <w:divBdr>
                                                <w:top w:val="none" w:sz="0" w:space="0" w:color="auto"/>
                                                <w:left w:val="none" w:sz="0" w:space="0" w:color="auto"/>
                                                <w:bottom w:val="none" w:sz="0" w:space="0" w:color="auto"/>
                                                <w:right w:val="none" w:sz="0" w:space="0" w:color="auto"/>
                                              </w:divBdr>
                                              <w:divsChild>
                                                <w:div w:id="1239443065">
                                                  <w:marLeft w:val="0"/>
                                                  <w:marRight w:val="0"/>
                                                  <w:marTop w:val="0"/>
                                                  <w:marBottom w:val="0"/>
                                                  <w:divBdr>
                                                    <w:top w:val="none" w:sz="0" w:space="0" w:color="auto"/>
                                                    <w:left w:val="none" w:sz="0" w:space="0" w:color="auto"/>
                                                    <w:bottom w:val="none" w:sz="0" w:space="0" w:color="auto"/>
                                                    <w:right w:val="none" w:sz="0" w:space="0" w:color="auto"/>
                                                  </w:divBdr>
                                                </w:div>
                                                <w:div w:id="1362047087">
                                                  <w:marLeft w:val="0"/>
                                                  <w:marRight w:val="0"/>
                                                  <w:marTop w:val="0"/>
                                                  <w:marBottom w:val="0"/>
                                                  <w:divBdr>
                                                    <w:top w:val="none" w:sz="0" w:space="0" w:color="auto"/>
                                                    <w:left w:val="none" w:sz="0" w:space="0" w:color="auto"/>
                                                    <w:bottom w:val="none" w:sz="0" w:space="0" w:color="auto"/>
                                                    <w:right w:val="none" w:sz="0" w:space="0" w:color="auto"/>
                                                  </w:divBdr>
                                                </w:div>
                                                <w:div w:id="435370676">
                                                  <w:marLeft w:val="0"/>
                                                  <w:marRight w:val="0"/>
                                                  <w:marTop w:val="0"/>
                                                  <w:marBottom w:val="0"/>
                                                  <w:divBdr>
                                                    <w:top w:val="none" w:sz="0" w:space="0" w:color="auto"/>
                                                    <w:left w:val="none" w:sz="0" w:space="0" w:color="auto"/>
                                                    <w:bottom w:val="none" w:sz="0" w:space="0" w:color="auto"/>
                                                    <w:right w:val="none" w:sz="0" w:space="0" w:color="auto"/>
                                                  </w:divBdr>
                                                </w:div>
                                                <w:div w:id="423571600">
                                                  <w:marLeft w:val="0"/>
                                                  <w:marRight w:val="0"/>
                                                  <w:marTop w:val="0"/>
                                                  <w:marBottom w:val="0"/>
                                                  <w:divBdr>
                                                    <w:top w:val="none" w:sz="0" w:space="0" w:color="auto"/>
                                                    <w:left w:val="none" w:sz="0" w:space="0" w:color="auto"/>
                                                    <w:bottom w:val="none" w:sz="0" w:space="0" w:color="auto"/>
                                                    <w:right w:val="none" w:sz="0" w:space="0" w:color="auto"/>
                                                  </w:divBdr>
                                                </w:div>
                                                <w:div w:id="652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innovationdeclar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ecd-opsi.org/wp-content/uploads/2018/11/OECD-Declaration-user-personae-EN.pdf" TargetMode="External"/><Relationship Id="rId4" Type="http://schemas.openxmlformats.org/officeDocument/2006/relationships/numbering" Target="numbering.xml"/><Relationship Id="rId9" Type="http://schemas.openxmlformats.org/officeDocument/2006/relationships/hyperlink" Target="https://oecd-opsi.org/wp-content/uploads/2018/11/OECD-Declaration-5-principle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819fd3-2ac1-41ca-950a-3eec2003a50e">
      <Terms xmlns="http://schemas.microsoft.com/office/infopath/2007/PartnerControls"/>
    </lcf76f155ced4ddcb4097134ff3c332f>
    <TaxCatchAll xmlns="f4ba94cb-2514-4551-839e-02d98348e7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CC06107CCBF438601FC06194CDAEB" ma:contentTypeVersion="15" ma:contentTypeDescription="Create a new document." ma:contentTypeScope="" ma:versionID="b8609343a797f5b1b85da454bf2bd377">
  <xsd:schema xmlns:xsd="http://www.w3.org/2001/XMLSchema" xmlns:xs="http://www.w3.org/2001/XMLSchema" xmlns:p="http://schemas.microsoft.com/office/2006/metadata/properties" xmlns:ns2="1e819fd3-2ac1-41ca-950a-3eec2003a50e" xmlns:ns3="f4ba94cb-2514-4551-839e-02d98348e723" targetNamespace="http://schemas.microsoft.com/office/2006/metadata/properties" ma:root="true" ma:fieldsID="66d9b46e5246962d4fd244afc7379f3d" ns2:_="" ns3:_="">
    <xsd:import namespace="1e819fd3-2ac1-41ca-950a-3eec2003a50e"/>
    <xsd:import namespace="f4ba94cb-2514-4551-839e-02d98348e7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9fd3-2ac1-41ca-950a-3eec2003a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ba94cb-2514-4551-839e-02d98348e7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3c3095-ded2-49a4-af6d-bb707720c83b}" ma:internalName="TaxCatchAll" ma:showField="CatchAllData" ma:web="f4ba94cb-2514-4551-839e-02d98348e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C2A33-DC04-4A56-A9DC-34D09C9C39E4}">
  <ds:schemaRefs>
    <ds:schemaRef ds:uri="http://schemas.microsoft.com/office/2006/metadata/properties"/>
    <ds:schemaRef ds:uri="http://schemas.microsoft.com/office/infopath/2007/PartnerControls"/>
    <ds:schemaRef ds:uri="1e819fd3-2ac1-41ca-950a-3eec2003a50e"/>
    <ds:schemaRef ds:uri="f4ba94cb-2514-4551-839e-02d98348e723"/>
  </ds:schemaRefs>
</ds:datastoreItem>
</file>

<file path=customXml/itemProps2.xml><?xml version="1.0" encoding="utf-8"?>
<ds:datastoreItem xmlns:ds="http://schemas.openxmlformats.org/officeDocument/2006/customXml" ds:itemID="{537E1510-90A9-4D62-9557-D2795B7AD918}">
  <ds:schemaRefs>
    <ds:schemaRef ds:uri="http://schemas.microsoft.com/sharepoint/v3/contenttype/forms"/>
  </ds:schemaRefs>
</ds:datastoreItem>
</file>

<file path=customXml/itemProps3.xml><?xml version="1.0" encoding="utf-8"?>
<ds:datastoreItem xmlns:ds="http://schemas.openxmlformats.org/officeDocument/2006/customXml" ds:itemID="{1195E823-9AC9-4689-8DD6-9F9561D57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19fd3-2ac1-41ca-950a-3eec2003a50e"/>
    <ds:schemaRef ds:uri="f4ba94cb-2514-4551-839e-02d98348e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12647</Characters>
  <Application>Microsoft Office Word</Application>
  <DocSecurity>4</DocSecurity>
  <Lines>105</Lines>
  <Paragraphs>30</Paragraphs>
  <ScaleCrop>false</ScaleCrop>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Kylington</dc:creator>
  <cp:keywords/>
  <dc:description/>
  <cp:lastModifiedBy>Sara Myrehed</cp:lastModifiedBy>
  <cp:revision>2</cp:revision>
  <dcterms:created xsi:type="dcterms:W3CDTF">2022-09-21T07:54:00Z</dcterms:created>
  <dcterms:modified xsi:type="dcterms:W3CDTF">2022-09-21T07:54:00Z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0x0101008D7CC06107CCBF438601FC06194CDAEB</vt:lpwstr>
  </property>
</Properties>
</file>